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8838" w14:textId="77777777" w:rsidR="00487F16" w:rsidRDefault="00487F16" w:rsidP="007C35A3">
      <w:pPr>
        <w:spacing w:before="240"/>
        <w:jc w:val="both"/>
        <w:rPr>
          <w:b/>
          <w:bCs/>
        </w:rPr>
      </w:pPr>
      <w:r>
        <w:rPr>
          <w:b/>
          <w:bCs/>
        </w:rPr>
        <w:t xml:space="preserve">Title: </w:t>
      </w:r>
    </w:p>
    <w:p w14:paraId="44D140B2" w14:textId="2B1BFBA4" w:rsidR="00E93DB4" w:rsidRDefault="007C35A3" w:rsidP="005F39BE">
      <w:pPr>
        <w:jc w:val="both"/>
      </w:pPr>
      <w:r>
        <w:t>Program to support c</w:t>
      </w:r>
      <w:r w:rsidR="00487F16" w:rsidRPr="00487F16">
        <w:t xml:space="preserve">ross sector </w:t>
      </w:r>
      <w:r w:rsidR="003B466D">
        <w:t xml:space="preserve">clinical observation </w:t>
      </w:r>
      <w:r w:rsidR="00487F16" w:rsidRPr="00487F16">
        <w:t>placement</w:t>
      </w:r>
      <w:r w:rsidR="003B466D">
        <w:t xml:space="preserve"> opportunities</w:t>
      </w:r>
      <w:r w:rsidR="00487F16" w:rsidRPr="00487F16">
        <w:t xml:space="preserve"> </w:t>
      </w:r>
      <w:r w:rsidR="00B441CC">
        <w:t xml:space="preserve">between </w:t>
      </w:r>
      <w:r w:rsidR="00E93DB4">
        <w:t>member agencies of the North and West Metropolitan Region Palliative Care Consortium.</w:t>
      </w:r>
    </w:p>
    <w:p w14:paraId="2297C85B" w14:textId="08DC08E6" w:rsidR="00392252" w:rsidRPr="00CB5914" w:rsidRDefault="00392252" w:rsidP="005F39BE">
      <w:pPr>
        <w:jc w:val="both"/>
        <w:rPr>
          <w:b/>
          <w:bCs/>
        </w:rPr>
      </w:pPr>
      <w:r w:rsidRPr="00CB5914">
        <w:rPr>
          <w:b/>
          <w:bCs/>
        </w:rPr>
        <w:t>Context</w:t>
      </w:r>
      <w:r w:rsidR="00487F16">
        <w:rPr>
          <w:b/>
          <w:bCs/>
        </w:rPr>
        <w:t>:</w:t>
      </w:r>
      <w:r w:rsidRPr="00CB5914">
        <w:rPr>
          <w:b/>
          <w:bCs/>
        </w:rPr>
        <w:t xml:space="preserve"> </w:t>
      </w:r>
    </w:p>
    <w:p w14:paraId="11E1996B" w14:textId="75699C4D" w:rsidR="00CB5914" w:rsidRDefault="00CB5914" w:rsidP="005F39BE">
      <w:pPr>
        <w:jc w:val="both"/>
      </w:pPr>
      <w:r>
        <w:t>In November 2020, t</w:t>
      </w:r>
      <w:r w:rsidR="00392252">
        <w:t xml:space="preserve">he North and West </w:t>
      </w:r>
      <w:r>
        <w:t>Metropolitan</w:t>
      </w:r>
      <w:r w:rsidR="00392252">
        <w:t xml:space="preserve"> </w:t>
      </w:r>
      <w:r>
        <w:t>Region</w:t>
      </w:r>
      <w:r w:rsidR="00392252">
        <w:t xml:space="preserve"> Palliative Care </w:t>
      </w:r>
      <w:r>
        <w:t xml:space="preserve">Consortium agreed to explore </w:t>
      </w:r>
      <w:r w:rsidR="00553073">
        <w:t xml:space="preserve">cross sector clinical observation </w:t>
      </w:r>
      <w:r w:rsidR="00553073" w:rsidRPr="00487F16">
        <w:t>placement</w:t>
      </w:r>
      <w:r w:rsidR="00553073">
        <w:t xml:space="preserve"> opportunities</w:t>
      </w:r>
      <w:r w:rsidR="00553073">
        <w:t xml:space="preserve"> </w:t>
      </w:r>
      <w:r>
        <w:t xml:space="preserve">to strengthen communication and </w:t>
      </w:r>
      <w:r w:rsidR="00D05EFC">
        <w:t xml:space="preserve">understanding </w:t>
      </w:r>
      <w:r>
        <w:t>between acute and community palliative care services</w:t>
      </w:r>
      <w:r w:rsidR="003B466D">
        <w:t>.</w:t>
      </w:r>
      <w:r>
        <w:t xml:space="preserve">  </w:t>
      </w:r>
    </w:p>
    <w:p w14:paraId="7DCCD82A" w14:textId="3370C069" w:rsidR="007F4147" w:rsidRPr="007F4147" w:rsidRDefault="007F4147" w:rsidP="005F39BE">
      <w:pPr>
        <w:jc w:val="both"/>
        <w:rPr>
          <w:b/>
          <w:bCs/>
        </w:rPr>
      </w:pPr>
      <w:r w:rsidRPr="007F4147">
        <w:rPr>
          <w:b/>
          <w:bCs/>
        </w:rPr>
        <w:t>Potential benefits:</w:t>
      </w:r>
    </w:p>
    <w:p w14:paraId="2368EFE8" w14:textId="5032EA48" w:rsidR="00553073" w:rsidRDefault="007F4147" w:rsidP="007F4147">
      <w:pPr>
        <w:pStyle w:val="ListParagraph"/>
        <w:numPr>
          <w:ilvl w:val="0"/>
          <w:numId w:val="1"/>
        </w:numPr>
        <w:jc w:val="both"/>
      </w:pPr>
      <w:r w:rsidRPr="007F4147">
        <w:t>Improved awareness and understanding of sector models of palliative care</w:t>
      </w:r>
      <w:r>
        <w:t xml:space="preserve"> </w:t>
      </w:r>
      <w:r w:rsidR="00553073">
        <w:t xml:space="preserve">and practices </w:t>
      </w:r>
      <w:r w:rsidR="001A1A4A">
        <w:t xml:space="preserve">across </w:t>
      </w:r>
      <w:proofErr w:type="gramStart"/>
      <w:r w:rsidR="001A1A4A">
        <w:t>workforces</w:t>
      </w:r>
      <w:proofErr w:type="gramEnd"/>
      <w:r w:rsidR="001A1A4A">
        <w:t xml:space="preserve"> </w:t>
      </w:r>
    </w:p>
    <w:p w14:paraId="3AFF6707" w14:textId="3617A0AC" w:rsidR="00553073" w:rsidRDefault="00553073" w:rsidP="007F4147">
      <w:pPr>
        <w:pStyle w:val="ListParagraph"/>
        <w:numPr>
          <w:ilvl w:val="0"/>
          <w:numId w:val="1"/>
        </w:numPr>
        <w:jc w:val="both"/>
      </w:pPr>
      <w:r>
        <w:t xml:space="preserve">Enhanced </w:t>
      </w:r>
      <w:r w:rsidR="007F4147">
        <w:t>cooperation</w:t>
      </w:r>
      <w:r>
        <w:t xml:space="preserve"> between palliative care sectors</w:t>
      </w:r>
    </w:p>
    <w:p w14:paraId="081A7E57" w14:textId="6B635963" w:rsidR="007F4147" w:rsidRDefault="00553073" w:rsidP="007F4147">
      <w:pPr>
        <w:pStyle w:val="ListParagraph"/>
        <w:numPr>
          <w:ilvl w:val="0"/>
          <w:numId w:val="1"/>
        </w:numPr>
        <w:jc w:val="both"/>
      </w:pPr>
      <w:r>
        <w:t xml:space="preserve">Strengthening opportunity for seamless transition between care sectors supporting improved </w:t>
      </w:r>
      <w:r w:rsidR="001A1A4A">
        <w:t>patient and family experience</w:t>
      </w:r>
      <w:r>
        <w:t>s</w:t>
      </w:r>
    </w:p>
    <w:p w14:paraId="109BCFB5" w14:textId="0437DC0C" w:rsidR="007F4147" w:rsidRPr="007F4147" w:rsidRDefault="00553073" w:rsidP="007F4147">
      <w:pPr>
        <w:pStyle w:val="ListParagraph"/>
        <w:numPr>
          <w:ilvl w:val="0"/>
          <w:numId w:val="1"/>
        </w:numPr>
        <w:jc w:val="both"/>
      </w:pPr>
      <w:r>
        <w:t xml:space="preserve">Raising the profile of </w:t>
      </w:r>
      <w:r>
        <w:t>palliative care as a career path</w:t>
      </w:r>
      <w:r>
        <w:t xml:space="preserve"> with the potential to increase recruitment from </w:t>
      </w:r>
      <w:r w:rsidR="007F4147">
        <w:t>outside existing</w:t>
      </w:r>
      <w:r>
        <w:t xml:space="preserve"> palliative care</w:t>
      </w:r>
      <w:r w:rsidR="007F4147">
        <w:t xml:space="preserve"> workforce</w:t>
      </w:r>
      <w:r>
        <w:t xml:space="preserve">. </w:t>
      </w:r>
      <w:r w:rsidR="007F4147">
        <w:t xml:space="preserve"> </w:t>
      </w:r>
    </w:p>
    <w:p w14:paraId="0B13CFA0" w14:textId="34B0BF5F" w:rsidR="003B466D" w:rsidRPr="003B466D" w:rsidRDefault="003B466D" w:rsidP="005F39BE">
      <w:pPr>
        <w:jc w:val="both"/>
        <w:rPr>
          <w:b/>
          <w:bCs/>
        </w:rPr>
      </w:pPr>
      <w:r w:rsidRPr="003B466D">
        <w:rPr>
          <w:b/>
          <w:bCs/>
        </w:rPr>
        <w:t xml:space="preserve">Aim and </w:t>
      </w:r>
      <w:r>
        <w:rPr>
          <w:b/>
          <w:bCs/>
        </w:rPr>
        <w:t>o</w:t>
      </w:r>
      <w:r w:rsidRPr="003B466D">
        <w:rPr>
          <w:b/>
          <w:bCs/>
        </w:rPr>
        <w:t>bjectives</w:t>
      </w:r>
      <w:r>
        <w:rPr>
          <w:b/>
          <w:bCs/>
        </w:rPr>
        <w:t>:</w:t>
      </w:r>
      <w:r w:rsidRPr="003B466D">
        <w:rPr>
          <w:b/>
          <w:bCs/>
        </w:rPr>
        <w:t xml:space="preserve"> </w:t>
      </w:r>
    </w:p>
    <w:p w14:paraId="617F41D1" w14:textId="236C667B" w:rsidR="003B466D" w:rsidRDefault="00CA241D" w:rsidP="005F39BE">
      <w:pPr>
        <w:jc w:val="both"/>
      </w:pPr>
      <w:r>
        <w:t xml:space="preserve">The </w:t>
      </w:r>
      <w:r w:rsidR="003B466D">
        <w:t xml:space="preserve">aim of this </w:t>
      </w:r>
      <w:r w:rsidR="007C35A3">
        <w:t>program</w:t>
      </w:r>
      <w:r w:rsidR="003B466D">
        <w:t xml:space="preserve"> </w:t>
      </w:r>
      <w:r w:rsidR="00236928">
        <w:t>is to</w:t>
      </w:r>
      <w:r w:rsidR="003B466D">
        <w:t xml:space="preserve"> </w:t>
      </w:r>
      <w:r w:rsidR="003B466D" w:rsidRPr="003B466D">
        <w:t xml:space="preserve">allow the participant to work with specialist </w:t>
      </w:r>
      <w:r w:rsidR="00553073">
        <w:t xml:space="preserve">palliative care </w:t>
      </w:r>
      <w:r w:rsidR="003B466D" w:rsidRPr="003B466D">
        <w:t>clinicians to increase skills and knowledge</w:t>
      </w:r>
      <w:r w:rsidR="00553073">
        <w:t xml:space="preserve"> </w:t>
      </w:r>
      <w:r w:rsidR="003B466D" w:rsidRPr="003B466D">
        <w:t>in the areas of clinical and psychosocial practi</w:t>
      </w:r>
      <w:r w:rsidR="003671E8">
        <w:t>c</w:t>
      </w:r>
      <w:r w:rsidR="003B466D" w:rsidRPr="003B466D">
        <w:t>e and communication</w:t>
      </w:r>
      <w:r w:rsidR="003B466D">
        <w:t xml:space="preserve">.  </w:t>
      </w:r>
    </w:p>
    <w:p w14:paraId="6F21EFC7" w14:textId="00D5C328" w:rsidR="003B466D" w:rsidRDefault="003B466D" w:rsidP="005F39BE">
      <w:pPr>
        <w:jc w:val="both"/>
      </w:pPr>
      <w:r>
        <w:t xml:space="preserve">The objectives of the </w:t>
      </w:r>
      <w:r w:rsidR="001A1DB7">
        <w:t>program</w:t>
      </w:r>
      <w:r>
        <w:t xml:space="preserve"> are to:</w:t>
      </w:r>
    </w:p>
    <w:p w14:paraId="7EB0FE9B" w14:textId="750D656E" w:rsidR="00236928" w:rsidRDefault="00236928" w:rsidP="005F39BE">
      <w:pPr>
        <w:pStyle w:val="ListParagraph"/>
        <w:numPr>
          <w:ilvl w:val="0"/>
          <w:numId w:val="1"/>
        </w:numPr>
        <w:jc w:val="both"/>
      </w:pPr>
      <w:r>
        <w:t xml:space="preserve">raise awareness and understanding </w:t>
      </w:r>
      <w:r w:rsidR="003A6136">
        <w:t xml:space="preserve">of participants of the </w:t>
      </w:r>
      <w:r>
        <w:t>models of</w:t>
      </w:r>
      <w:r w:rsidR="00E93DB4">
        <w:t xml:space="preserve"> palliative</w:t>
      </w:r>
      <w:r>
        <w:t xml:space="preserve"> care, work practices, systems, processes and challenges </w:t>
      </w:r>
      <w:r w:rsidR="003671E8">
        <w:t>with</w:t>
      </w:r>
      <w:r>
        <w:t>in sector</w:t>
      </w:r>
      <w:r w:rsidR="004F6971">
        <w:t>s</w:t>
      </w:r>
      <w:r w:rsidR="003B466D">
        <w:t>.</w:t>
      </w:r>
      <w:r>
        <w:t xml:space="preserve">  </w:t>
      </w:r>
    </w:p>
    <w:p w14:paraId="4D4A103D" w14:textId="64DB41FC" w:rsidR="004F6971" w:rsidRDefault="004F6971" w:rsidP="004C6429">
      <w:pPr>
        <w:pStyle w:val="ListParagraph"/>
        <w:numPr>
          <w:ilvl w:val="0"/>
          <w:numId w:val="1"/>
        </w:numPr>
        <w:jc w:val="both"/>
      </w:pPr>
      <w:r>
        <w:t xml:space="preserve">through observation of </w:t>
      </w:r>
      <w:r w:rsidR="003B466D" w:rsidRPr="003B466D">
        <w:t>various communication styles and strategies used by clinicians at palliative care organisations when interacting with patients and families</w:t>
      </w:r>
      <w:r>
        <w:t xml:space="preserve">, strengthen </w:t>
      </w:r>
      <w:r w:rsidR="003A6136">
        <w:t xml:space="preserve">participants </w:t>
      </w:r>
      <w:r>
        <w:t xml:space="preserve">communication skills when delivering difficult and challenging information. </w:t>
      </w:r>
    </w:p>
    <w:p w14:paraId="668406D0" w14:textId="56FDCC56" w:rsidR="003B466D" w:rsidRDefault="003B466D" w:rsidP="003B466D">
      <w:pPr>
        <w:pStyle w:val="ListParagraph"/>
        <w:numPr>
          <w:ilvl w:val="0"/>
          <w:numId w:val="1"/>
        </w:numPr>
        <w:jc w:val="both"/>
      </w:pPr>
      <w:r>
        <w:t>strengthen collaboration and communication between and across sectors</w:t>
      </w:r>
      <w:r w:rsidR="00E93DB4">
        <w:t xml:space="preserve"> that provide palliative care</w:t>
      </w:r>
      <w:r w:rsidR="003A6136">
        <w:t xml:space="preserve"> within the North and West Metropolitan Region Palliative Care Consortium.</w:t>
      </w:r>
    </w:p>
    <w:p w14:paraId="7EEE216C" w14:textId="2AA4C738" w:rsidR="00236928" w:rsidRPr="00CB5914" w:rsidRDefault="00236928" w:rsidP="005F39BE">
      <w:pPr>
        <w:jc w:val="both"/>
        <w:rPr>
          <w:b/>
          <w:bCs/>
        </w:rPr>
      </w:pPr>
      <w:r>
        <w:rPr>
          <w:b/>
          <w:bCs/>
        </w:rPr>
        <w:t>Performance measures</w:t>
      </w:r>
      <w:r w:rsidR="003B466D">
        <w:rPr>
          <w:b/>
          <w:bCs/>
        </w:rPr>
        <w:t>:</w:t>
      </w:r>
    </w:p>
    <w:p w14:paraId="1AC83F7C" w14:textId="722F40D8" w:rsidR="00236928" w:rsidRDefault="00236928" w:rsidP="005F39BE">
      <w:pPr>
        <w:jc w:val="both"/>
      </w:pPr>
      <w:r>
        <w:t>The following performance measures are proposed:</w:t>
      </w:r>
    </w:p>
    <w:p w14:paraId="1ACF722B" w14:textId="16840860" w:rsidR="00392252" w:rsidRDefault="00236928" w:rsidP="005F39BE">
      <w:pPr>
        <w:pStyle w:val="ListParagraph"/>
        <w:numPr>
          <w:ilvl w:val="0"/>
          <w:numId w:val="4"/>
        </w:numPr>
        <w:jc w:val="both"/>
      </w:pPr>
      <w:r>
        <w:t xml:space="preserve">Placements on </w:t>
      </w:r>
      <w:r w:rsidR="00D05EFC">
        <w:t xml:space="preserve">offer are </w:t>
      </w:r>
      <w:r w:rsidR="003A6136">
        <w:t xml:space="preserve">fully </w:t>
      </w:r>
      <w:r w:rsidR="00D05EFC">
        <w:t>subscribed or oversubscribed</w:t>
      </w:r>
    </w:p>
    <w:p w14:paraId="2FDFA09C" w14:textId="38D095D3" w:rsidR="007C35A3" w:rsidRDefault="00757295" w:rsidP="005F39BE">
      <w:pPr>
        <w:pStyle w:val="ListParagraph"/>
        <w:numPr>
          <w:ilvl w:val="0"/>
          <w:numId w:val="4"/>
        </w:numPr>
        <w:jc w:val="both"/>
      </w:pPr>
      <w:r>
        <w:t>E</w:t>
      </w:r>
      <w:r w:rsidR="003A6136">
        <w:t>vidence of completed d</w:t>
      </w:r>
      <w:r w:rsidR="007C35A3">
        <w:t>ocumentation</w:t>
      </w:r>
      <w:r w:rsidR="003A6136">
        <w:t xml:space="preserve"> by each participant</w:t>
      </w:r>
      <w:r w:rsidR="007C35A3">
        <w:t xml:space="preserve"> to confirm agreement with program conditions</w:t>
      </w:r>
      <w:r w:rsidR="0091271A">
        <w:t xml:space="preserve"> including practice limitation</w:t>
      </w:r>
      <w:r w:rsidR="003A6136">
        <w:t>s</w:t>
      </w:r>
      <w:r w:rsidR="0091271A">
        <w:t xml:space="preserve"> and compliance with organisational polic</w:t>
      </w:r>
      <w:r w:rsidR="003A6136">
        <w:t>i</w:t>
      </w:r>
      <w:r w:rsidR="0091271A">
        <w:t xml:space="preserve">es and </w:t>
      </w:r>
      <w:proofErr w:type="gramStart"/>
      <w:r w:rsidR="0091271A">
        <w:t>procedures</w:t>
      </w:r>
      <w:proofErr w:type="gramEnd"/>
    </w:p>
    <w:p w14:paraId="32B7DCE7" w14:textId="77003ED8" w:rsidR="003A6136" w:rsidRDefault="003A6136" w:rsidP="003A6136">
      <w:pPr>
        <w:pStyle w:val="ListParagraph"/>
        <w:numPr>
          <w:ilvl w:val="0"/>
          <w:numId w:val="4"/>
        </w:numPr>
        <w:jc w:val="both"/>
      </w:pPr>
      <w:r>
        <w:t>Evaluation from participant demonstrates:</w:t>
      </w:r>
    </w:p>
    <w:p w14:paraId="609A801E" w14:textId="2B97B1C0" w:rsidR="003A6136" w:rsidRDefault="003A6136" w:rsidP="003A6136">
      <w:pPr>
        <w:pStyle w:val="ListParagraph"/>
        <w:numPr>
          <w:ilvl w:val="1"/>
          <w:numId w:val="4"/>
        </w:numPr>
        <w:jc w:val="both"/>
      </w:pPr>
      <w:r>
        <w:t>a ‘high’ to a ‘very high’ level of satisfaction with placements</w:t>
      </w:r>
    </w:p>
    <w:p w14:paraId="31D2A8F1" w14:textId="5C6C495B" w:rsidR="00236928" w:rsidRDefault="00D05EFC" w:rsidP="003A6136">
      <w:pPr>
        <w:pStyle w:val="ListParagraph"/>
        <w:numPr>
          <w:ilvl w:val="1"/>
          <w:numId w:val="4"/>
        </w:numPr>
        <w:jc w:val="both"/>
      </w:pPr>
      <w:r>
        <w:t>Experiential and lea</w:t>
      </w:r>
      <w:r w:rsidR="00CA241D">
        <w:t>r</w:t>
      </w:r>
      <w:r>
        <w:t xml:space="preserve">ning </w:t>
      </w:r>
      <w:r w:rsidR="003B466D">
        <w:t>objectives</w:t>
      </w:r>
      <w:r>
        <w:t xml:space="preserve"> </w:t>
      </w:r>
      <w:r w:rsidR="003671E8">
        <w:t>are</w:t>
      </w:r>
      <w:r>
        <w:t xml:space="preserve"> met </w:t>
      </w:r>
      <w:r w:rsidR="00CA241D">
        <w:t>and/or exceeded.</w:t>
      </w:r>
    </w:p>
    <w:p w14:paraId="5EA1AFE3" w14:textId="43C9F9BE" w:rsidR="003671E8" w:rsidRDefault="00757295" w:rsidP="003671E8">
      <w:pPr>
        <w:pStyle w:val="ListParagraph"/>
        <w:numPr>
          <w:ilvl w:val="0"/>
          <w:numId w:val="4"/>
        </w:numPr>
        <w:jc w:val="both"/>
      </w:pPr>
      <w:r>
        <w:t>No evidence of p</w:t>
      </w:r>
      <w:r w:rsidR="003671E8">
        <w:t>articipants practic</w:t>
      </w:r>
      <w:r>
        <w:t>ing o</w:t>
      </w:r>
      <w:r w:rsidR="003671E8">
        <w:t xml:space="preserve">utside </w:t>
      </w:r>
      <w:r>
        <w:t xml:space="preserve">agreed practice </w:t>
      </w:r>
      <w:proofErr w:type="gramStart"/>
      <w:r>
        <w:t>limitations</w:t>
      </w:r>
      <w:proofErr w:type="gramEnd"/>
    </w:p>
    <w:p w14:paraId="3B9B3A3A" w14:textId="698635F9" w:rsidR="005D1204" w:rsidRDefault="00757295" w:rsidP="003671E8">
      <w:pPr>
        <w:pStyle w:val="ListParagraph"/>
        <w:numPr>
          <w:ilvl w:val="0"/>
          <w:numId w:val="4"/>
        </w:numPr>
        <w:jc w:val="both"/>
      </w:pPr>
      <w:r>
        <w:t>N</w:t>
      </w:r>
      <w:r w:rsidR="005D1204">
        <w:t xml:space="preserve">o adverse events associated with the </w:t>
      </w:r>
      <w:proofErr w:type="gramStart"/>
      <w:r w:rsidR="003A6136">
        <w:t>program</w:t>
      </w:r>
      <w:proofErr w:type="gramEnd"/>
      <w:r w:rsidR="005D1204">
        <w:t xml:space="preserve"> </w:t>
      </w:r>
    </w:p>
    <w:p w14:paraId="0FEF416C" w14:textId="7BA50D5B" w:rsidR="003671E8" w:rsidRDefault="003671E8" w:rsidP="003671E8">
      <w:pPr>
        <w:pStyle w:val="ListParagraph"/>
        <w:numPr>
          <w:ilvl w:val="0"/>
          <w:numId w:val="4"/>
        </w:numPr>
        <w:jc w:val="both"/>
      </w:pPr>
      <w:r>
        <w:t xml:space="preserve">Feedback from participating agencies and supervisors demonstrate a ‘high’ to a ‘very high’ level of support and satisfaction with the </w:t>
      </w:r>
      <w:r w:rsidR="003A6136">
        <w:t>program</w:t>
      </w:r>
      <w:r>
        <w:t>.</w:t>
      </w:r>
    </w:p>
    <w:p w14:paraId="4E86A5B4" w14:textId="287F2CF1" w:rsidR="00392252" w:rsidRDefault="00620F14" w:rsidP="00757295">
      <w:pPr>
        <w:spacing w:before="240"/>
        <w:jc w:val="both"/>
        <w:rPr>
          <w:b/>
          <w:bCs/>
        </w:rPr>
      </w:pPr>
      <w:r w:rsidRPr="003671E8">
        <w:rPr>
          <w:b/>
          <w:bCs/>
        </w:rPr>
        <w:lastRenderedPageBreak/>
        <w:t>Implementation considerations</w:t>
      </w:r>
      <w:r w:rsidR="00553073">
        <w:rPr>
          <w:b/>
          <w:bCs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616A64" w14:paraId="33F4F2AC" w14:textId="77777777" w:rsidTr="001A1A4A">
        <w:trPr>
          <w:tblHeader/>
        </w:trPr>
        <w:tc>
          <w:tcPr>
            <w:tcW w:w="2263" w:type="dxa"/>
            <w:shd w:val="clear" w:color="auto" w:fill="F7CAAC" w:themeFill="accent2" w:themeFillTint="66"/>
          </w:tcPr>
          <w:p w14:paraId="7734B1DD" w14:textId="6FBBA0D4" w:rsidR="00616A64" w:rsidRPr="00616A64" w:rsidRDefault="00616A64" w:rsidP="00616A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 discussion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14:paraId="3B9859BB" w14:textId="007BA456" w:rsidR="00616A64" w:rsidRDefault="00616A64" w:rsidP="003671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Considerations</w:t>
            </w:r>
          </w:p>
        </w:tc>
      </w:tr>
      <w:tr w:rsidR="00E93DB4" w14:paraId="44BFFB87" w14:textId="77777777" w:rsidTr="001A1A4A">
        <w:tc>
          <w:tcPr>
            <w:tcW w:w="2263" w:type="dxa"/>
          </w:tcPr>
          <w:p w14:paraId="379D2697" w14:textId="5D4F9509" w:rsidR="00E93DB4" w:rsidRDefault="00E93DB4" w:rsidP="00E93DB4">
            <w:pPr>
              <w:jc w:val="both"/>
            </w:pPr>
            <w:r w:rsidRPr="00E93DB4">
              <w:t xml:space="preserve">Clinical </w:t>
            </w:r>
            <w:r w:rsidR="00922216">
              <w:t>roles</w:t>
            </w:r>
            <w:r w:rsidRPr="00E93DB4">
              <w:t xml:space="preserve"> to be included in program</w:t>
            </w:r>
          </w:p>
        </w:tc>
        <w:tc>
          <w:tcPr>
            <w:tcW w:w="7655" w:type="dxa"/>
          </w:tcPr>
          <w:p w14:paraId="653CBAA3" w14:textId="2DDF19D3" w:rsidR="00E93DB4" w:rsidRDefault="00E93DB4" w:rsidP="00616A64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 xml:space="preserve">Is </w:t>
            </w:r>
            <w:r w:rsidR="001A1DB7">
              <w:t>the program</w:t>
            </w:r>
            <w:r>
              <w:t xml:space="preserve"> limited to Nursing workforce?</w:t>
            </w:r>
          </w:p>
          <w:p w14:paraId="22DE49BF" w14:textId="3A60A288" w:rsidR="00E93DB4" w:rsidRPr="00616A64" w:rsidRDefault="001A1DB7" w:rsidP="00616A64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 xml:space="preserve">What opportunities are there to </w:t>
            </w:r>
            <w:r w:rsidR="00E93DB4">
              <w:t>extend to Allied Health, Medical?</w:t>
            </w:r>
          </w:p>
        </w:tc>
      </w:tr>
      <w:tr w:rsidR="00922216" w14:paraId="5780A648" w14:textId="77777777" w:rsidTr="001A1A4A">
        <w:tc>
          <w:tcPr>
            <w:tcW w:w="2263" w:type="dxa"/>
          </w:tcPr>
          <w:p w14:paraId="75D32EE9" w14:textId="31B86C50" w:rsidR="00922216" w:rsidRDefault="00922216" w:rsidP="00616A64">
            <w:pPr>
              <w:jc w:val="both"/>
            </w:pPr>
            <w:r>
              <w:t>Promoting program</w:t>
            </w:r>
          </w:p>
        </w:tc>
        <w:tc>
          <w:tcPr>
            <w:tcW w:w="7655" w:type="dxa"/>
          </w:tcPr>
          <w:p w14:paraId="45F4459C" w14:textId="77777777" w:rsidR="006701FF" w:rsidRDefault="009A18EB" w:rsidP="004977D4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 xml:space="preserve">Internal </w:t>
            </w:r>
            <w:r w:rsidR="00DF6608">
              <w:t xml:space="preserve">within each agency </w:t>
            </w:r>
          </w:p>
          <w:p w14:paraId="38ABBB7C" w14:textId="6B479E23" w:rsidR="009A18EB" w:rsidRDefault="006701FF" w:rsidP="004977D4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>A</w:t>
            </w:r>
            <w:r w:rsidR="009A18EB">
              <w:t xml:space="preserve">cross Consortium </w:t>
            </w:r>
            <w:r w:rsidR="00DF6608">
              <w:t>a</w:t>
            </w:r>
            <w:r w:rsidR="009A18EB">
              <w:t>gencies to attract broader audience</w:t>
            </w:r>
          </w:p>
          <w:p w14:paraId="41BBAA4A" w14:textId="52820836" w:rsidR="009A18EB" w:rsidRPr="00616A64" w:rsidRDefault="009A18EB" w:rsidP="00616A64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>Electronic</w:t>
            </w:r>
            <w:r w:rsidR="00494A02">
              <w:t xml:space="preserve"> </w:t>
            </w:r>
            <w:r w:rsidR="00DF6608">
              <w:t xml:space="preserve">promotion via </w:t>
            </w:r>
            <w:r w:rsidR="00494A02">
              <w:t>Consortium</w:t>
            </w:r>
            <w:r w:rsidR="00DF6608">
              <w:t xml:space="preserve"> e-newsletter </w:t>
            </w:r>
            <w:r w:rsidR="00494A02">
              <w:t>and via</w:t>
            </w:r>
            <w:r w:rsidR="00DF6608">
              <w:t xml:space="preserve"> Consortium members through i</w:t>
            </w:r>
            <w:r w:rsidR="00494A02">
              <w:t xml:space="preserve">nternal meetings within agencies </w:t>
            </w:r>
          </w:p>
        </w:tc>
      </w:tr>
      <w:tr w:rsidR="00616A64" w14:paraId="6792B8A8" w14:textId="77777777" w:rsidTr="001A1A4A">
        <w:tc>
          <w:tcPr>
            <w:tcW w:w="2263" w:type="dxa"/>
          </w:tcPr>
          <w:p w14:paraId="570E90C4" w14:textId="58DA3147" w:rsidR="00616A64" w:rsidRDefault="00616A64" w:rsidP="001A1A4A">
            <w:pPr>
              <w:jc w:val="both"/>
              <w:rPr>
                <w:b/>
                <w:bCs/>
              </w:rPr>
            </w:pPr>
            <w:r>
              <w:t>M</w:t>
            </w:r>
            <w:r w:rsidR="001A1A4A">
              <w:t xml:space="preserve">oU </w:t>
            </w:r>
            <w:r>
              <w:t xml:space="preserve">between agencies </w:t>
            </w:r>
          </w:p>
        </w:tc>
        <w:tc>
          <w:tcPr>
            <w:tcW w:w="7655" w:type="dxa"/>
          </w:tcPr>
          <w:p w14:paraId="25D00875" w14:textId="4072CB21" w:rsidR="00616A64" w:rsidRPr="00616A64" w:rsidRDefault="00616A64" w:rsidP="00616A64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 w:rsidRPr="00616A64">
              <w:t>Required or not required</w:t>
            </w:r>
            <w:r w:rsidR="007C35A3">
              <w:t>?</w:t>
            </w:r>
          </w:p>
          <w:p w14:paraId="64D498B3" w14:textId="358A9782" w:rsidR="00616A64" w:rsidRPr="00616A64" w:rsidRDefault="00616A64" w:rsidP="00616A64">
            <w:pPr>
              <w:pStyle w:val="ListParagraph"/>
              <w:numPr>
                <w:ilvl w:val="0"/>
                <w:numId w:val="5"/>
              </w:numPr>
              <w:ind w:left="176" w:hanging="176"/>
              <w:jc w:val="both"/>
            </w:pPr>
            <w:r w:rsidRPr="00616A64">
              <w:t xml:space="preserve">Required between </w:t>
            </w:r>
            <w:r w:rsidR="007C35A3">
              <w:t xml:space="preserve">individual </w:t>
            </w:r>
            <w:r w:rsidR="001A1DB7" w:rsidRPr="00616A64">
              <w:t>agencies</w:t>
            </w:r>
            <w:r w:rsidR="006701FF">
              <w:t>?</w:t>
            </w:r>
            <w:r w:rsidRPr="00616A64">
              <w:t xml:space="preserve"> </w:t>
            </w:r>
          </w:p>
        </w:tc>
      </w:tr>
      <w:tr w:rsidR="00922216" w14:paraId="1BB6925C" w14:textId="77777777" w:rsidTr="001A1A4A">
        <w:tc>
          <w:tcPr>
            <w:tcW w:w="2263" w:type="dxa"/>
          </w:tcPr>
          <w:p w14:paraId="2F7C3016" w14:textId="77777777" w:rsidR="00922216" w:rsidRDefault="00922216" w:rsidP="00556A28">
            <w:pPr>
              <w:jc w:val="both"/>
              <w:rPr>
                <w:b/>
                <w:bCs/>
              </w:rPr>
            </w:pPr>
            <w:r>
              <w:t xml:space="preserve">Learning objectives for each sector </w:t>
            </w:r>
          </w:p>
        </w:tc>
        <w:tc>
          <w:tcPr>
            <w:tcW w:w="7655" w:type="dxa"/>
          </w:tcPr>
          <w:p w14:paraId="4A4D8A11" w14:textId="77777777" w:rsidR="00922216" w:rsidRPr="00592B2F" w:rsidRDefault="00922216" w:rsidP="00556A28">
            <w:pPr>
              <w:jc w:val="both"/>
            </w:pPr>
            <w:r>
              <w:t>Consider agreed s</w:t>
            </w:r>
            <w:r w:rsidRPr="00592B2F">
              <w:t xml:space="preserve">ector placed objectives </w:t>
            </w:r>
            <w:r>
              <w:t xml:space="preserve">in addition to individual learning objectives </w:t>
            </w:r>
          </w:p>
        </w:tc>
      </w:tr>
      <w:tr w:rsidR="00494A02" w14:paraId="7DD05AD2" w14:textId="77777777" w:rsidTr="001A1A4A">
        <w:tc>
          <w:tcPr>
            <w:tcW w:w="2263" w:type="dxa"/>
          </w:tcPr>
          <w:p w14:paraId="39472C67" w14:textId="520373E7" w:rsidR="00494A02" w:rsidRDefault="00494A02" w:rsidP="00494A02">
            <w:pPr>
              <w:jc w:val="both"/>
            </w:pPr>
            <w:r>
              <w:t xml:space="preserve">Recruitment of participants </w:t>
            </w:r>
          </w:p>
        </w:tc>
        <w:tc>
          <w:tcPr>
            <w:tcW w:w="7655" w:type="dxa"/>
          </w:tcPr>
          <w:p w14:paraId="03F69E7B" w14:textId="77777777" w:rsidR="00494A02" w:rsidRDefault="00494A02" w:rsidP="00494A02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>Preconditions for acceptance</w:t>
            </w:r>
          </w:p>
          <w:p w14:paraId="0EFC9B78" w14:textId="70B20C59" w:rsidR="00494A02" w:rsidRDefault="00494A02" w:rsidP="00494A02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 xml:space="preserve">Process for acceptance  </w:t>
            </w:r>
          </w:p>
          <w:p w14:paraId="7A7F3991" w14:textId="7669C73F" w:rsidR="00494A02" w:rsidRDefault="00494A02" w:rsidP="00DF6608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 xml:space="preserve">Clinical placement letter of offer, statement of conditions, agreed behaviours and record of acceptance </w:t>
            </w:r>
          </w:p>
        </w:tc>
      </w:tr>
      <w:tr w:rsidR="00494A02" w14:paraId="26955199" w14:textId="77777777" w:rsidTr="001A1A4A">
        <w:tc>
          <w:tcPr>
            <w:tcW w:w="2263" w:type="dxa"/>
          </w:tcPr>
          <w:p w14:paraId="584FAC35" w14:textId="6E9F7AA6" w:rsidR="00494A02" w:rsidRDefault="00494A02" w:rsidP="00494A02">
            <w:pPr>
              <w:jc w:val="both"/>
            </w:pPr>
            <w:r>
              <w:t xml:space="preserve">Placements </w:t>
            </w:r>
          </w:p>
          <w:p w14:paraId="02C2FB32" w14:textId="77777777" w:rsidR="00494A02" w:rsidRPr="00616A64" w:rsidRDefault="00494A02" w:rsidP="00494A02">
            <w:pPr>
              <w:jc w:val="both"/>
            </w:pPr>
          </w:p>
        </w:tc>
        <w:tc>
          <w:tcPr>
            <w:tcW w:w="7655" w:type="dxa"/>
          </w:tcPr>
          <w:p w14:paraId="154FCC0F" w14:textId="4428C427" w:rsidR="00494A02" w:rsidRDefault="00494A02" w:rsidP="00494A02">
            <w:pPr>
              <w:jc w:val="both"/>
            </w:pPr>
            <w:r>
              <w:t>Need to discuss and agree:</w:t>
            </w:r>
          </w:p>
          <w:p w14:paraId="734382FF" w14:textId="596E47A4" w:rsidR="00494A02" w:rsidRDefault="00494A02" w:rsidP="00494A02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>Maximum number of placements / month or year for each agency</w:t>
            </w:r>
          </w:p>
          <w:p w14:paraId="54F0B865" w14:textId="27E76612" w:rsidR="00494A02" w:rsidRPr="007C35A3" w:rsidRDefault="00494A02" w:rsidP="00494A02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 w:rsidRPr="007C35A3">
              <w:t>Number of days</w:t>
            </w:r>
          </w:p>
          <w:p w14:paraId="4308B5DE" w14:textId="77777777" w:rsidR="00494A02" w:rsidRDefault="00494A02" w:rsidP="00494A02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 w:rsidRPr="007C35A3">
              <w:t>? Differences between sectors</w:t>
            </w:r>
          </w:p>
          <w:p w14:paraId="3A4C9563" w14:textId="77777777" w:rsidR="00494A02" w:rsidRDefault="00494A02" w:rsidP="00494A02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>Specific days per week</w:t>
            </w:r>
          </w:p>
          <w:p w14:paraId="0D2B71CD" w14:textId="6F163B50" w:rsidR="00494A02" w:rsidRPr="007C35A3" w:rsidRDefault="00494A02" w:rsidP="00494A02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</w:pPr>
            <w:r>
              <w:t>Specific hours each day</w:t>
            </w:r>
          </w:p>
        </w:tc>
      </w:tr>
      <w:tr w:rsidR="00494A02" w14:paraId="532A28EA" w14:textId="77777777" w:rsidTr="001A1A4A">
        <w:tc>
          <w:tcPr>
            <w:tcW w:w="2263" w:type="dxa"/>
          </w:tcPr>
          <w:p w14:paraId="49681986" w14:textId="7D0379C2" w:rsidR="00494A02" w:rsidRPr="001A1DB7" w:rsidRDefault="00494A02" w:rsidP="00494A02">
            <w:pPr>
              <w:jc w:val="both"/>
            </w:pPr>
            <w:r w:rsidRPr="001A1DB7">
              <w:t xml:space="preserve">Placement scope </w:t>
            </w:r>
            <w:r>
              <w:t xml:space="preserve">– will be influenced by the agreed learning objectives and number of days </w:t>
            </w:r>
          </w:p>
        </w:tc>
        <w:tc>
          <w:tcPr>
            <w:tcW w:w="7655" w:type="dxa"/>
          </w:tcPr>
          <w:p w14:paraId="3DFC70DF" w14:textId="352CCBB2" w:rsidR="00494A02" w:rsidRDefault="00494A02" w:rsidP="00494A02">
            <w:pPr>
              <w:jc w:val="both"/>
            </w:pPr>
            <w:r w:rsidRPr="001A1DB7">
              <w:t>Community Palliative Care</w:t>
            </w:r>
            <w:r>
              <w:t xml:space="preserve"> – one role or multiple roles e.g. </w:t>
            </w:r>
          </w:p>
          <w:p w14:paraId="6125DD8E" w14:textId="77777777" w:rsidR="00494A02" w:rsidRDefault="00494A02" w:rsidP="00494A0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Intake</w:t>
            </w:r>
          </w:p>
          <w:p w14:paraId="25407139" w14:textId="3BD17AD5" w:rsidR="00494A02" w:rsidRDefault="00494A02" w:rsidP="00494A0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Clinical home visits</w:t>
            </w:r>
          </w:p>
          <w:p w14:paraId="6F2E03B6" w14:textId="6E620F59" w:rsidR="00494A02" w:rsidRDefault="00494A02" w:rsidP="00494A0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Telehealth</w:t>
            </w:r>
          </w:p>
          <w:p w14:paraId="42F3CA0F" w14:textId="50FE752F" w:rsidR="00494A02" w:rsidRDefault="00494A02" w:rsidP="00494A0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Aged Care Team</w:t>
            </w:r>
          </w:p>
          <w:p w14:paraId="7A316547" w14:textId="77777777" w:rsidR="00494A02" w:rsidRDefault="00494A02" w:rsidP="00494A02">
            <w:pPr>
              <w:jc w:val="both"/>
            </w:pPr>
            <w:r>
              <w:t>Hospital based – one department or multiple departments e.g.</w:t>
            </w:r>
          </w:p>
          <w:p w14:paraId="1C8029F7" w14:textId="36002EE3" w:rsidR="00494A02" w:rsidRDefault="00494A02" w:rsidP="00494A0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PCU </w:t>
            </w:r>
          </w:p>
          <w:p w14:paraId="4013944E" w14:textId="43A7C167" w:rsidR="00E00F4D" w:rsidRDefault="006701FF" w:rsidP="00494A0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PC </w:t>
            </w:r>
            <w:r w:rsidR="00E00F4D">
              <w:t>Consultancy</w:t>
            </w:r>
          </w:p>
          <w:p w14:paraId="00F146B0" w14:textId="77777777" w:rsidR="00494A02" w:rsidRDefault="00494A02" w:rsidP="00494A0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Outpatients</w:t>
            </w:r>
          </w:p>
          <w:p w14:paraId="39A7F356" w14:textId="5A79ACB7" w:rsidR="00DF6608" w:rsidRPr="001A1DB7" w:rsidRDefault="001A1A4A" w:rsidP="00E00F4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Acute response team/palliative care outreach team</w:t>
            </w:r>
          </w:p>
        </w:tc>
      </w:tr>
      <w:tr w:rsidR="00494A02" w14:paraId="15FEC631" w14:textId="77777777" w:rsidTr="001A1A4A">
        <w:tc>
          <w:tcPr>
            <w:tcW w:w="2263" w:type="dxa"/>
          </w:tcPr>
          <w:p w14:paraId="4CF79448" w14:textId="47E941EC" w:rsidR="00494A02" w:rsidRPr="001A1DB7" w:rsidRDefault="00DF6608" w:rsidP="00494A02">
            <w:pPr>
              <w:jc w:val="both"/>
            </w:pPr>
            <w:r>
              <w:t>Su</w:t>
            </w:r>
            <w:r w:rsidR="00494A02">
              <w:t>pervisor role</w:t>
            </w:r>
            <w:r>
              <w:t xml:space="preserve"> </w:t>
            </w:r>
            <w:r w:rsidR="00494A02">
              <w:t>/ responsibilities</w:t>
            </w:r>
          </w:p>
        </w:tc>
        <w:tc>
          <w:tcPr>
            <w:tcW w:w="7655" w:type="dxa"/>
          </w:tcPr>
          <w:p w14:paraId="25212328" w14:textId="54F587B7" w:rsidR="00494A02" w:rsidRDefault="00494A02" w:rsidP="00494A0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Need to nominate supervisors at each agency / department</w:t>
            </w:r>
          </w:p>
          <w:p w14:paraId="48486137" w14:textId="77777777" w:rsidR="00DF6608" w:rsidRDefault="00494A02" w:rsidP="00DF660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Discuss and agree scope of supervisor role/responsibilities</w:t>
            </w:r>
          </w:p>
          <w:p w14:paraId="51005D0E" w14:textId="4A28CFAE" w:rsidR="00494A02" w:rsidRPr="001A1DB7" w:rsidRDefault="00DF6608" w:rsidP="00DF660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Briefing supervisors re their role and responsibilities and escalation processes</w:t>
            </w:r>
          </w:p>
        </w:tc>
      </w:tr>
      <w:tr w:rsidR="00494A02" w14:paraId="2384E52E" w14:textId="77777777" w:rsidTr="001A1A4A">
        <w:tc>
          <w:tcPr>
            <w:tcW w:w="2263" w:type="dxa"/>
          </w:tcPr>
          <w:p w14:paraId="71A00441" w14:textId="2969BFF8" w:rsidR="00494A02" w:rsidRDefault="00494A02" w:rsidP="00494A02">
            <w:pPr>
              <w:jc w:val="both"/>
            </w:pPr>
            <w:r>
              <w:t>Adverse events / complaints</w:t>
            </w:r>
          </w:p>
        </w:tc>
        <w:tc>
          <w:tcPr>
            <w:tcW w:w="7655" w:type="dxa"/>
          </w:tcPr>
          <w:p w14:paraId="22D01366" w14:textId="1D8C711B" w:rsidR="00494A02" w:rsidRDefault="00494A02" w:rsidP="00494A0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Need to agree process to manage these types of situations including escalation</w:t>
            </w:r>
            <w:r w:rsidR="006701FF">
              <w:t>, reporting, investigation, resolution.</w:t>
            </w:r>
            <w:r>
              <w:t xml:space="preserve"> </w:t>
            </w:r>
          </w:p>
        </w:tc>
      </w:tr>
      <w:tr w:rsidR="00494A02" w14:paraId="5EACDDB6" w14:textId="77777777" w:rsidTr="001A1A4A">
        <w:tc>
          <w:tcPr>
            <w:tcW w:w="2263" w:type="dxa"/>
          </w:tcPr>
          <w:p w14:paraId="2AA9583D" w14:textId="51F44C67" w:rsidR="00494A02" w:rsidRDefault="00494A02" w:rsidP="00494A02">
            <w:pPr>
              <w:jc w:val="both"/>
            </w:pPr>
            <w:r>
              <w:t>Evaluation</w:t>
            </w:r>
          </w:p>
        </w:tc>
        <w:tc>
          <w:tcPr>
            <w:tcW w:w="7655" w:type="dxa"/>
          </w:tcPr>
          <w:p w14:paraId="70D3BFAC" w14:textId="7D4DEFE8" w:rsidR="00494A02" w:rsidRDefault="00494A02" w:rsidP="00494A0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Pre and post evaluation for participants based on learning objectives (sector and individual)</w:t>
            </w:r>
          </w:p>
          <w:p w14:paraId="4987BC10" w14:textId="77777777" w:rsidR="00494A02" w:rsidRDefault="00494A02" w:rsidP="00494A0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Supervisors (qualitative feedback post evaluation)</w:t>
            </w:r>
          </w:p>
          <w:p w14:paraId="3DAADB53" w14:textId="726B4DBC" w:rsidR="00494A02" w:rsidRDefault="00494A02" w:rsidP="00494A0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Program evaluation to be reported to Consortium Management Group</w:t>
            </w:r>
          </w:p>
        </w:tc>
      </w:tr>
      <w:tr w:rsidR="00DF6608" w14:paraId="239A0E8A" w14:textId="77777777" w:rsidTr="001A1A4A">
        <w:tc>
          <w:tcPr>
            <w:tcW w:w="2263" w:type="dxa"/>
          </w:tcPr>
          <w:p w14:paraId="45EE00E7" w14:textId="4B794CCA" w:rsidR="00DF6608" w:rsidRDefault="00DF6608" w:rsidP="00494A02">
            <w:pPr>
              <w:jc w:val="both"/>
            </w:pPr>
            <w:r>
              <w:t xml:space="preserve">Program administration </w:t>
            </w:r>
          </w:p>
        </w:tc>
        <w:tc>
          <w:tcPr>
            <w:tcW w:w="7655" w:type="dxa"/>
          </w:tcPr>
          <w:p w14:paraId="1FDC8B50" w14:textId="3BAEF4E2" w:rsidR="006701FF" w:rsidRDefault="00DF6608" w:rsidP="00494A0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Consortium </w:t>
            </w:r>
            <w:r w:rsidR="007F4147">
              <w:t>to coordinate</w:t>
            </w:r>
            <w:r w:rsidR="006701FF">
              <w:t>?</w:t>
            </w:r>
          </w:p>
          <w:p w14:paraId="66403A7D" w14:textId="2FDBD73A" w:rsidR="007F4147" w:rsidRDefault="007F4147" w:rsidP="006701FF">
            <w:pPr>
              <w:jc w:val="both"/>
            </w:pPr>
            <w:r w:rsidRPr="006701FF">
              <w:rPr>
                <w:u w:val="single"/>
              </w:rPr>
              <w:t>or</w:t>
            </w:r>
            <w:r>
              <w:t xml:space="preserve"> </w:t>
            </w:r>
          </w:p>
          <w:p w14:paraId="56A56ED7" w14:textId="46117550" w:rsidR="007F4147" w:rsidRDefault="007F4147" w:rsidP="007F4147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Managed by each agency</w:t>
            </w:r>
            <w:r w:rsidR="006701FF">
              <w:t>?</w:t>
            </w:r>
            <w:r>
              <w:t xml:space="preserve"> </w:t>
            </w:r>
          </w:p>
        </w:tc>
      </w:tr>
    </w:tbl>
    <w:p w14:paraId="6B53109C" w14:textId="77777777" w:rsidR="00487F16" w:rsidRDefault="00487F16" w:rsidP="007F4147">
      <w:pPr>
        <w:jc w:val="both"/>
      </w:pPr>
    </w:p>
    <w:sectPr w:rsidR="00487F16" w:rsidSect="006701FF">
      <w:headerReference w:type="default" r:id="rId7"/>
      <w:footerReference w:type="default" r:id="rId8"/>
      <w:pgSz w:w="11906" w:h="16838" w:code="9"/>
      <w:pgMar w:top="1985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5F534" w14:textId="77777777" w:rsidR="00A95CD6" w:rsidRDefault="00A95CD6" w:rsidP="00487F16">
      <w:pPr>
        <w:spacing w:after="0" w:line="240" w:lineRule="auto"/>
      </w:pPr>
      <w:r>
        <w:separator/>
      </w:r>
    </w:p>
  </w:endnote>
  <w:endnote w:type="continuationSeparator" w:id="0">
    <w:p w14:paraId="78E5C791" w14:textId="77777777" w:rsidR="00A95CD6" w:rsidRDefault="00A95CD6" w:rsidP="0048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26C49" w14:textId="77777777" w:rsidR="007F4147" w:rsidRDefault="007F4147" w:rsidP="001A1A4A">
    <w:pPr>
      <w:pBdr>
        <w:top w:val="single" w:sz="4" w:space="1" w:color="auto"/>
      </w:pBdr>
      <w:tabs>
        <w:tab w:val="center" w:pos="4550"/>
        <w:tab w:val="left" w:pos="5818"/>
      </w:tabs>
      <w:ind w:right="-285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70C549B" w14:textId="77777777" w:rsidR="007F4147" w:rsidRDefault="007F4147" w:rsidP="001A1A4A">
    <w:pPr>
      <w:pStyle w:val="Footer"/>
      <w:tabs>
        <w:tab w:val="clear" w:pos="9026"/>
      </w:tabs>
      <w:ind w:right="-2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46FCC" w14:textId="77777777" w:rsidR="00A95CD6" w:rsidRDefault="00A95CD6" w:rsidP="00487F16">
      <w:pPr>
        <w:spacing w:after="0" w:line="240" w:lineRule="auto"/>
      </w:pPr>
      <w:r>
        <w:separator/>
      </w:r>
    </w:p>
  </w:footnote>
  <w:footnote w:type="continuationSeparator" w:id="0">
    <w:p w14:paraId="26B2D1FD" w14:textId="77777777" w:rsidR="00A95CD6" w:rsidRDefault="00A95CD6" w:rsidP="0048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1F48C" w14:textId="1C88ECDC" w:rsidR="00487F16" w:rsidRDefault="00487F16" w:rsidP="00487F16">
    <w:pPr>
      <w:pStyle w:val="Header"/>
      <w:tabs>
        <w:tab w:val="left" w:pos="9180"/>
      </w:tabs>
      <w:rPr>
        <w:b/>
        <w:bCs/>
        <w:sz w:val="28"/>
        <w:szCs w:val="28"/>
      </w:rPr>
    </w:pPr>
    <w:r w:rsidRPr="00487F16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57F3BCD2" wp14:editId="5BC0591D">
          <wp:simplePos x="0" y="0"/>
          <wp:positionH relativeFrom="column">
            <wp:posOffset>3467100</wp:posOffset>
          </wp:positionH>
          <wp:positionV relativeFrom="paragraph">
            <wp:posOffset>-148590</wp:posOffset>
          </wp:positionV>
          <wp:extent cx="2495550" cy="527333"/>
          <wp:effectExtent l="0" t="0" r="0" b="6350"/>
          <wp:wrapNone/>
          <wp:docPr id="3" name="Picture 1" descr="NW-Logo-H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-Logo-H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7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7F16">
      <w:rPr>
        <w:b/>
        <w:bCs/>
        <w:sz w:val="28"/>
        <w:szCs w:val="28"/>
      </w:rPr>
      <w:t xml:space="preserve">Briefing </w:t>
    </w:r>
    <w:r w:rsidR="00A704AB">
      <w:rPr>
        <w:b/>
        <w:bCs/>
        <w:sz w:val="28"/>
        <w:szCs w:val="28"/>
      </w:rPr>
      <w:t>note</w:t>
    </w:r>
    <w:r w:rsidRPr="00487F16">
      <w:rPr>
        <w:b/>
        <w:bCs/>
        <w:sz w:val="28"/>
        <w:szCs w:val="28"/>
      </w:rPr>
      <w:t xml:space="preserve"> for </w:t>
    </w:r>
  </w:p>
  <w:p w14:paraId="65D8AE4D" w14:textId="7B03932C" w:rsidR="00487F16" w:rsidRPr="00487F16" w:rsidRDefault="00487F16" w:rsidP="00487F16">
    <w:pPr>
      <w:pStyle w:val="Header"/>
      <w:tabs>
        <w:tab w:val="left" w:pos="9180"/>
      </w:tabs>
      <w:rPr>
        <w:b/>
        <w:bCs/>
        <w:sz w:val="28"/>
        <w:szCs w:val="28"/>
      </w:rPr>
    </w:pPr>
    <w:r w:rsidRPr="00487F16">
      <w:rPr>
        <w:b/>
        <w:bCs/>
        <w:sz w:val="28"/>
        <w:szCs w:val="28"/>
      </w:rPr>
      <w:t>Consortium Management Group</w:t>
    </w:r>
  </w:p>
  <w:p w14:paraId="2CDC4324" w14:textId="77777777" w:rsidR="00487F16" w:rsidRPr="001A1A4A" w:rsidRDefault="00487F16" w:rsidP="00487F16">
    <w:pPr>
      <w:pStyle w:val="Header"/>
      <w:tabs>
        <w:tab w:val="left" w:pos="9180"/>
      </w:tabs>
      <w:rPr>
        <w:b/>
        <w:bCs/>
        <w:sz w:val="4"/>
        <w:szCs w:val="4"/>
      </w:rPr>
    </w:pPr>
  </w:p>
  <w:p w14:paraId="668CBF9F" w14:textId="77777777" w:rsidR="001A1A4A" w:rsidRPr="00553073" w:rsidRDefault="001A1A4A" w:rsidP="00487F16">
    <w:pPr>
      <w:pStyle w:val="Header"/>
      <w:tabs>
        <w:tab w:val="left" w:pos="9180"/>
      </w:tabs>
      <w:rPr>
        <w:b/>
        <w:bCs/>
        <w:sz w:val="2"/>
        <w:szCs w:val="2"/>
      </w:rPr>
    </w:pPr>
  </w:p>
  <w:p w14:paraId="3EEF1916" w14:textId="68E64FB5" w:rsidR="00487F16" w:rsidRPr="00487F16" w:rsidRDefault="00487F16" w:rsidP="00487F16">
    <w:pPr>
      <w:pStyle w:val="Header"/>
      <w:tabs>
        <w:tab w:val="left" w:pos="9180"/>
      </w:tabs>
      <w:rPr>
        <w:b/>
        <w:bCs/>
      </w:rPr>
    </w:pPr>
    <w:r w:rsidRPr="00487F16">
      <w:rPr>
        <w:b/>
        <w:bCs/>
      </w:rPr>
      <w:t>Prepared by Kathleen Menzies – Consortium Manager</w:t>
    </w:r>
  </w:p>
  <w:p w14:paraId="4BCD9565" w14:textId="3FDA9D77" w:rsidR="00487F16" w:rsidRPr="00487F16" w:rsidRDefault="006701FF" w:rsidP="00487F16">
    <w:pPr>
      <w:pStyle w:val="Header"/>
      <w:pBdr>
        <w:bottom w:val="single" w:sz="4" w:space="1" w:color="auto"/>
      </w:pBdr>
      <w:tabs>
        <w:tab w:val="left" w:pos="9180"/>
      </w:tabs>
      <w:rPr>
        <w:b/>
        <w:bCs/>
      </w:rPr>
    </w:pPr>
    <w:sdt>
      <w:sdtPr>
        <w:rPr>
          <w:sz w:val="18"/>
          <w:szCs w:val="18"/>
        </w:rPr>
        <w:id w:val="943197112"/>
        <w:docPartObj>
          <w:docPartGallery w:val="Watermarks"/>
          <w:docPartUnique/>
        </w:docPartObj>
      </w:sdtPr>
      <w:sdtEndPr/>
      <w:sdtContent>
        <w:r>
          <w:rPr>
            <w:noProof/>
            <w:sz w:val="18"/>
            <w:szCs w:val="18"/>
          </w:rPr>
          <w:pict w14:anchorId="26B4E5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84734">
      <w:rPr>
        <w:b/>
        <w:bCs/>
      </w:rPr>
      <w:t>January</w:t>
    </w:r>
    <w:r w:rsidR="00487F16" w:rsidRPr="00487F16">
      <w:rPr>
        <w:b/>
        <w:bCs/>
      </w:rPr>
      <w:t xml:space="preserve"> 202</w:t>
    </w:r>
    <w:r w:rsidR="00D84734">
      <w:rPr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382"/>
    <w:multiLevelType w:val="hybridMultilevel"/>
    <w:tmpl w:val="7722D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74FB"/>
    <w:multiLevelType w:val="multilevel"/>
    <w:tmpl w:val="325A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C0152"/>
    <w:multiLevelType w:val="hybridMultilevel"/>
    <w:tmpl w:val="C2B89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03483"/>
    <w:multiLevelType w:val="hybridMultilevel"/>
    <w:tmpl w:val="60B43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03A94"/>
    <w:multiLevelType w:val="hybridMultilevel"/>
    <w:tmpl w:val="E3748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79F0"/>
    <w:multiLevelType w:val="hybridMultilevel"/>
    <w:tmpl w:val="9B221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34B8"/>
    <w:multiLevelType w:val="hybridMultilevel"/>
    <w:tmpl w:val="8FBA3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6F29"/>
    <w:multiLevelType w:val="hybridMultilevel"/>
    <w:tmpl w:val="8422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636E1"/>
    <w:multiLevelType w:val="hybridMultilevel"/>
    <w:tmpl w:val="1A42D3F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BA809E5"/>
    <w:multiLevelType w:val="hybridMultilevel"/>
    <w:tmpl w:val="B2063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7"/>
    <w:rsid w:val="001A1A4A"/>
    <w:rsid w:val="001A1DB7"/>
    <w:rsid w:val="00236928"/>
    <w:rsid w:val="002462B6"/>
    <w:rsid w:val="003671E8"/>
    <w:rsid w:val="00384540"/>
    <w:rsid w:val="00392252"/>
    <w:rsid w:val="003A6136"/>
    <w:rsid w:val="003B466D"/>
    <w:rsid w:val="00485BFC"/>
    <w:rsid w:val="00487F16"/>
    <w:rsid w:val="00494A02"/>
    <w:rsid w:val="004D6EA5"/>
    <w:rsid w:val="004F6971"/>
    <w:rsid w:val="00553073"/>
    <w:rsid w:val="0056352E"/>
    <w:rsid w:val="00592B2F"/>
    <w:rsid w:val="0059442C"/>
    <w:rsid w:val="005D1204"/>
    <w:rsid w:val="005F39BE"/>
    <w:rsid w:val="00605BC0"/>
    <w:rsid w:val="00607E07"/>
    <w:rsid w:val="006101C0"/>
    <w:rsid w:val="00616A64"/>
    <w:rsid w:val="00620F14"/>
    <w:rsid w:val="006701FF"/>
    <w:rsid w:val="006F4970"/>
    <w:rsid w:val="00757295"/>
    <w:rsid w:val="007852DF"/>
    <w:rsid w:val="007A408D"/>
    <w:rsid w:val="007C35A3"/>
    <w:rsid w:val="007E2349"/>
    <w:rsid w:val="007F4147"/>
    <w:rsid w:val="00807F6E"/>
    <w:rsid w:val="008B4C85"/>
    <w:rsid w:val="008C3370"/>
    <w:rsid w:val="009105EF"/>
    <w:rsid w:val="0091271A"/>
    <w:rsid w:val="00922216"/>
    <w:rsid w:val="009A18EB"/>
    <w:rsid w:val="00A704AB"/>
    <w:rsid w:val="00A95CD6"/>
    <w:rsid w:val="00B441CC"/>
    <w:rsid w:val="00B917E4"/>
    <w:rsid w:val="00CA241D"/>
    <w:rsid w:val="00CB5914"/>
    <w:rsid w:val="00D05EFC"/>
    <w:rsid w:val="00D84734"/>
    <w:rsid w:val="00DB32E3"/>
    <w:rsid w:val="00DC6995"/>
    <w:rsid w:val="00DF6608"/>
    <w:rsid w:val="00E00F4D"/>
    <w:rsid w:val="00E93DB4"/>
    <w:rsid w:val="00EF57B5"/>
    <w:rsid w:val="00F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715239"/>
  <w15:chartTrackingRefBased/>
  <w15:docId w15:val="{E6D32596-538B-4000-9E29-FBF935B7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2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591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91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er">
    <w:name w:val="header"/>
    <w:basedOn w:val="Normal"/>
    <w:link w:val="HeaderChar"/>
    <w:unhideWhenUsed/>
    <w:rsid w:val="0048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7F16"/>
  </w:style>
  <w:style w:type="paragraph" w:styleId="Footer">
    <w:name w:val="footer"/>
    <w:basedOn w:val="Normal"/>
    <w:link w:val="FooterChar"/>
    <w:uiPriority w:val="99"/>
    <w:unhideWhenUsed/>
    <w:rsid w:val="0048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16"/>
  </w:style>
  <w:style w:type="character" w:customStyle="1" w:styleId="Heading2Char">
    <w:name w:val="Heading 2 Char"/>
    <w:basedOn w:val="DefaultParagraphFont"/>
    <w:link w:val="Heading2"/>
    <w:uiPriority w:val="9"/>
    <w:semiHidden/>
    <w:rsid w:val="007852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2DF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61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F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Menzies</dc:creator>
  <cp:keywords/>
  <dc:description/>
  <cp:lastModifiedBy>Kathleen Menzies</cp:lastModifiedBy>
  <cp:revision>3</cp:revision>
  <dcterms:created xsi:type="dcterms:W3CDTF">2021-01-17T20:39:00Z</dcterms:created>
  <dcterms:modified xsi:type="dcterms:W3CDTF">2021-01-17T20:43:00Z</dcterms:modified>
</cp:coreProperties>
</file>