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78E9" w14:textId="23A3231B" w:rsidR="00942538" w:rsidRPr="00B97A6D" w:rsidRDefault="00CD6108">
      <w:pPr>
        <w:rPr>
          <w:b/>
          <w:bCs/>
        </w:rPr>
      </w:pPr>
      <w:r w:rsidRPr="00B97A6D">
        <w:rPr>
          <w:b/>
          <w:bCs/>
        </w:rPr>
        <w:t xml:space="preserve">Did you know that </w:t>
      </w:r>
      <w:r w:rsidR="005630A6" w:rsidRPr="00B97A6D">
        <w:rPr>
          <w:b/>
          <w:bCs/>
        </w:rPr>
        <w:t xml:space="preserve">there is now a map of pharmacies in North and Western Melbourne stocking core </w:t>
      </w:r>
      <w:r w:rsidR="00B97A6D" w:rsidRPr="00B97A6D">
        <w:rPr>
          <w:b/>
          <w:bCs/>
        </w:rPr>
        <w:t>palliative care medicines?</w:t>
      </w:r>
    </w:p>
    <w:p w14:paraId="78E8886C" w14:textId="37967D5F" w:rsidR="00B97A6D" w:rsidRDefault="004429DF">
      <w:r>
        <w:t xml:space="preserve">Use this </w:t>
      </w:r>
      <w:hyperlink r:id="rId4" w:history="1">
        <w:r w:rsidRPr="00404363">
          <w:rPr>
            <w:rStyle w:val="Hyperlink"/>
          </w:rPr>
          <w:t>map</w:t>
        </w:r>
      </w:hyperlink>
      <w:r w:rsidRPr="00404363">
        <w:t xml:space="preserve"> to </w:t>
      </w:r>
      <w:r w:rsidR="00B97A6D" w:rsidRPr="00404363">
        <w:t>find pharmacies</w:t>
      </w:r>
      <w:r w:rsidR="00B97A6D">
        <w:t xml:space="preserve"> who have agreed to stock the </w:t>
      </w:r>
      <w:r w:rsidR="00637AD0">
        <w:t>core palliative care medicines</w:t>
      </w:r>
      <w:r w:rsidR="00627111">
        <w:t>, listed in the table below</w:t>
      </w:r>
      <w:r w:rsidR="00637AD0">
        <w:t>.</w:t>
      </w:r>
      <w:r w:rsidR="00CA18E9">
        <w:t xml:space="preserve"> The map is also available on HealthPathways Melbourne</w:t>
      </w:r>
      <w:r w:rsidR="002D168D">
        <w:t>.</w:t>
      </w:r>
      <w:r w:rsidR="00CA18E9">
        <w:t xml:space="preserve"> </w:t>
      </w:r>
    </w:p>
    <w:p w14:paraId="5C62C34C" w14:textId="5425B1DE" w:rsidR="0012373D" w:rsidRPr="00C62697" w:rsidRDefault="00F81791">
      <w:pPr>
        <w:rPr>
          <w:b/>
          <w:bCs/>
        </w:rPr>
      </w:pPr>
      <w:r w:rsidRPr="00C62697">
        <w:rPr>
          <w:b/>
          <w:bCs/>
        </w:rPr>
        <w:t xml:space="preserve">Core Medicines List for community palliative care patients in </w:t>
      </w:r>
      <w:r w:rsidR="00C62697" w:rsidRPr="00C62697">
        <w:rPr>
          <w:b/>
          <w:bCs/>
        </w:rPr>
        <w:t>North and Western Melbourne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3260"/>
        <w:gridCol w:w="1559"/>
        <w:gridCol w:w="2835"/>
      </w:tblGrid>
      <w:tr w:rsidR="005D1F6F" w:rsidRPr="00B67580" w14:paraId="1037FC5E" w14:textId="77777777" w:rsidTr="007C6A40">
        <w:trPr>
          <w:trHeight w:val="1325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BD081D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Medicine Category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ED1342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First Line Medicines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0892D5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Minimum Quantity to stock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6F5D6A3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Indication/(s) for use in terminal phase patients</w:t>
            </w:r>
          </w:p>
        </w:tc>
      </w:tr>
      <w:tr w:rsidR="005D1F6F" w:rsidRPr="00B67580" w14:paraId="71A6264A" w14:textId="77777777" w:rsidTr="007C6A40">
        <w:trPr>
          <w:trHeight w:val="1786"/>
        </w:trPr>
        <w:tc>
          <w:tcPr>
            <w:tcW w:w="19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D94AC2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Anxiolytic</w:t>
            </w:r>
          </w:p>
          <w:p w14:paraId="0115DF8E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 </w:t>
            </w:r>
          </w:p>
          <w:p w14:paraId="3F2DED5A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 </w:t>
            </w:r>
          </w:p>
          <w:p w14:paraId="5FF77A53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 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1CA549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Clonazepam 2.5mg/mL (0.1mg/drop) Oral Liquid</w:t>
            </w:r>
          </w:p>
          <w:p w14:paraId="49FDA0E9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 </w:t>
            </w:r>
          </w:p>
          <w:p w14:paraId="2212D7BF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Midazolam 5mg/mL Injection</w:t>
            </w:r>
          </w:p>
          <w:p w14:paraId="47EB90B4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(If an injection is required or preferred)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1B2CD2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 xml:space="preserve">10mL bottle </w:t>
            </w:r>
          </w:p>
          <w:p w14:paraId="34934F8E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 </w:t>
            </w:r>
          </w:p>
          <w:p w14:paraId="125FB735" w14:textId="77777777" w:rsidR="005D1F6F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 </w:t>
            </w:r>
          </w:p>
          <w:p w14:paraId="7D041DB4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5 or 10 ampoules</w:t>
            </w:r>
          </w:p>
          <w:p w14:paraId="21F47E19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 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965ABA" w14:textId="77777777" w:rsidR="005D1F6F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Agitation associated with delirium</w:t>
            </w:r>
          </w:p>
          <w:p w14:paraId="12235CA7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Anxiety associated with dyspnoea</w:t>
            </w:r>
          </w:p>
        </w:tc>
      </w:tr>
      <w:tr w:rsidR="005D1F6F" w:rsidRPr="00B67580" w14:paraId="0651A52A" w14:textId="77777777" w:rsidTr="007C6A40">
        <w:trPr>
          <w:trHeight w:val="1143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17EADC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Antipsychotic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99A4B5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Haloperidol 5mg/mL Injection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5082BB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10 ampoules</w:t>
            </w:r>
          </w:p>
          <w:p w14:paraId="1EB404A5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22F711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Agitation</w:t>
            </w:r>
          </w:p>
          <w:p w14:paraId="076D522C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Nausea, vomiting</w:t>
            </w:r>
          </w:p>
          <w:p w14:paraId="07F6135E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 </w:t>
            </w:r>
          </w:p>
        </w:tc>
      </w:tr>
      <w:tr w:rsidR="005D1F6F" w:rsidRPr="00B67580" w14:paraId="27C6B14C" w14:textId="77777777" w:rsidTr="007C6A40">
        <w:trPr>
          <w:trHeight w:val="951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39EF96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Anticholinergic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A9113B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Hyoscine butylbromide 20mg/mL Injection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06BFB3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5 ampoules</w:t>
            </w:r>
          </w:p>
          <w:p w14:paraId="14F529DF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 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53FC72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Respiratory tract secretions</w:t>
            </w:r>
          </w:p>
          <w:p w14:paraId="5D08703D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Noisy breathing</w:t>
            </w:r>
          </w:p>
        </w:tc>
      </w:tr>
      <w:tr w:rsidR="005D1F6F" w:rsidRPr="00B67580" w14:paraId="4DA68AE3" w14:textId="77777777" w:rsidTr="007C6A40">
        <w:trPr>
          <w:trHeight w:val="877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C8C81FC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Antiemetic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635E11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Metoclopramide 10mg/2mL Injection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1C6A85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10 ampoules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0F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2F60EE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Nausea, vomiting</w:t>
            </w:r>
          </w:p>
        </w:tc>
      </w:tr>
      <w:tr w:rsidR="005D1F6F" w:rsidRPr="00B67580" w14:paraId="03BC8A6F" w14:textId="77777777" w:rsidTr="007C6A40">
        <w:trPr>
          <w:trHeight w:val="1214"/>
        </w:trPr>
        <w:tc>
          <w:tcPr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C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2B0D32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>Analgesic</w:t>
            </w:r>
          </w:p>
          <w:p w14:paraId="53A5EBC3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b/>
                <w:bCs/>
                <w:lang w:val="en-AU"/>
              </w:rPr>
              <w:t xml:space="preserve">(High potency opioid)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28550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Morphine (sulfate or hydrochloride) 10mg/mL and/or 30mg/mL Injection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D11000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5 ampoules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E1E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5FA3D8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Dyspnoea</w:t>
            </w:r>
          </w:p>
          <w:p w14:paraId="161D7920" w14:textId="77777777" w:rsidR="005D1F6F" w:rsidRPr="00B67580" w:rsidRDefault="005D1F6F" w:rsidP="007C6A40">
            <w:pPr>
              <w:rPr>
                <w:lang w:val="en-AU"/>
              </w:rPr>
            </w:pPr>
            <w:r w:rsidRPr="00B67580">
              <w:rPr>
                <w:lang w:val="en-AU"/>
              </w:rPr>
              <w:t>Pain</w:t>
            </w:r>
          </w:p>
        </w:tc>
      </w:tr>
    </w:tbl>
    <w:p w14:paraId="73177493" w14:textId="77777777" w:rsidR="005D1F6F" w:rsidRDefault="005D1F6F" w:rsidP="005D1F6F"/>
    <w:p w14:paraId="3833DC89" w14:textId="283DFD52" w:rsidR="00CF4F08" w:rsidRDefault="00CF4F08" w:rsidP="00CF4F08">
      <w:r>
        <w:t xml:space="preserve">This core medicines list (CML) was established as part of the </w:t>
      </w:r>
      <w:r w:rsidR="00BC6269">
        <w:t>Palliative</w:t>
      </w:r>
      <w:r>
        <w:t xml:space="preserve"> Care Access to Core Medicines project which North Western Melbourne </w:t>
      </w:r>
      <w:r w:rsidR="00BC6269">
        <w:t>Primary</w:t>
      </w:r>
      <w:r>
        <w:t xml:space="preserve"> Health Network commissione</w:t>
      </w:r>
      <w:r w:rsidR="00BC6269">
        <w:t>d</w:t>
      </w:r>
      <w:r>
        <w:t xml:space="preserve"> the Pharmaceutical Society of Australia to deliver</w:t>
      </w:r>
      <w:r w:rsidR="001478D5">
        <w:t>. The main aim of th</w:t>
      </w:r>
      <w:r w:rsidR="00E4354E">
        <w:t>is</w:t>
      </w:r>
      <w:r w:rsidR="001478D5">
        <w:t xml:space="preserve"> project is to </w:t>
      </w:r>
      <w:r>
        <w:t>increas</w:t>
      </w:r>
      <w:r w:rsidR="001478D5">
        <w:t>e</w:t>
      </w:r>
      <w:r>
        <w:t xml:space="preserve"> access to medicines for people who wish to die at home or in an aged care setting.</w:t>
      </w:r>
    </w:p>
    <w:p w14:paraId="38A051A8" w14:textId="77777777" w:rsidR="00CF4F08" w:rsidRDefault="00CF4F08" w:rsidP="00CF4F08">
      <w:r>
        <w:t>The CML was established through consultation with local palliative care providers. When clinically appropriate, prescribers are encouraged to prescribe the suggested medicines in the CML to facilitate timely access.</w:t>
      </w:r>
    </w:p>
    <w:p w14:paraId="5E4FF167" w14:textId="561FB288" w:rsidR="00CF4F08" w:rsidRDefault="007140F3" w:rsidP="005D1F6F">
      <w:r>
        <w:t>To learn about this project</w:t>
      </w:r>
      <w:r w:rsidR="00E4354E">
        <w:t xml:space="preserve">, please visit </w:t>
      </w:r>
      <w:hyperlink r:id="rId5" w:history="1">
        <w:r w:rsidR="00CB6F76" w:rsidRPr="00287E32">
          <w:rPr>
            <w:rStyle w:val="Hyperlink"/>
          </w:rPr>
          <w:t>NWMPHN’s website</w:t>
        </w:r>
      </w:hyperlink>
      <w:r w:rsidR="00CB6F76">
        <w:t>.</w:t>
      </w:r>
    </w:p>
    <w:p w14:paraId="598A7971" w14:textId="4AE7B0EA" w:rsidR="00B97A6D" w:rsidRDefault="00B97A6D"/>
    <w:sectPr w:rsidR="00B97A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A5"/>
    <w:rsid w:val="0007668D"/>
    <w:rsid w:val="000B6E08"/>
    <w:rsid w:val="0012373D"/>
    <w:rsid w:val="001478D5"/>
    <w:rsid w:val="001F2860"/>
    <w:rsid w:val="00273B70"/>
    <w:rsid w:val="00287E32"/>
    <w:rsid w:val="002D168D"/>
    <w:rsid w:val="00345A32"/>
    <w:rsid w:val="003E1B10"/>
    <w:rsid w:val="00404363"/>
    <w:rsid w:val="004429DF"/>
    <w:rsid w:val="005630A6"/>
    <w:rsid w:val="00563A15"/>
    <w:rsid w:val="005D1F6F"/>
    <w:rsid w:val="00627111"/>
    <w:rsid w:val="00637AD0"/>
    <w:rsid w:val="00710229"/>
    <w:rsid w:val="007140F3"/>
    <w:rsid w:val="00783802"/>
    <w:rsid w:val="00942538"/>
    <w:rsid w:val="00963E53"/>
    <w:rsid w:val="00982C4A"/>
    <w:rsid w:val="00A57724"/>
    <w:rsid w:val="00B97A6D"/>
    <w:rsid w:val="00BC6269"/>
    <w:rsid w:val="00C42016"/>
    <w:rsid w:val="00C62697"/>
    <w:rsid w:val="00CA18E9"/>
    <w:rsid w:val="00CB0FD0"/>
    <w:rsid w:val="00CB6F76"/>
    <w:rsid w:val="00CD6108"/>
    <w:rsid w:val="00CF4F08"/>
    <w:rsid w:val="00DD0D00"/>
    <w:rsid w:val="00DE22AC"/>
    <w:rsid w:val="00E16376"/>
    <w:rsid w:val="00E4354E"/>
    <w:rsid w:val="00EE6CA5"/>
    <w:rsid w:val="00F8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7772"/>
  <w15:chartTrackingRefBased/>
  <w15:docId w15:val="{57A39480-F360-412F-9008-574E4802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A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17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4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wmphn.org.au/commissioned_act/palliative-care-access-to-core-medicines/" TargetMode="External"/><Relationship Id="rId4" Type="http://schemas.openxmlformats.org/officeDocument/2006/relationships/hyperlink" Target="https://www.google.com/maps/d/viewer?mid=13ZnlbIogz4gOUID5e5Oa8aqBiezzTnoW&amp;ll=-37.728088165750506%2C144.81776334999998&amp;z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Ball</dc:creator>
  <cp:keywords/>
  <dc:description/>
  <cp:lastModifiedBy>Michelle Warner</cp:lastModifiedBy>
  <cp:revision>2</cp:revision>
  <dcterms:created xsi:type="dcterms:W3CDTF">2021-12-15T02:32:00Z</dcterms:created>
  <dcterms:modified xsi:type="dcterms:W3CDTF">2021-12-15T02:32:00Z</dcterms:modified>
</cp:coreProperties>
</file>